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6A" w:rsidRDefault="00B2106A" w:rsidP="00B2106A">
      <w:pPr>
        <w:autoSpaceDE w:val="0"/>
        <w:autoSpaceDN w:val="0"/>
        <w:adjustRightInd w:val="0"/>
        <w:spacing w:after="0" w:line="240" w:lineRule="auto"/>
        <w:jc w:val="right"/>
        <w:rPr>
          <w:rFonts w:ascii="GelPenUprightLight" w:hAnsi="GelPenUprightLight" w:cs="GelPenUprightLight"/>
          <w:color w:val="002060"/>
          <w:sz w:val="28"/>
          <w:szCs w:val="28"/>
        </w:rPr>
      </w:pPr>
      <w:r w:rsidRPr="00B2106A">
        <w:rPr>
          <w:rFonts w:ascii="GelPenUprightLight" w:hAnsi="GelPenUprightLight" w:cs="GelPenUprightLight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076325" cy="124269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lPenUprightLight" w:hAnsi="GelPenUprightLight" w:cs="GelPenUprightLight"/>
          <w:color w:val="002060"/>
          <w:sz w:val="28"/>
          <w:szCs w:val="28"/>
        </w:rPr>
        <w:t>ISPETTORIA ILS “Madonna del Cenacolo”</w:t>
      </w:r>
    </w:p>
    <w:p w:rsidR="00B2106A" w:rsidRDefault="00B2106A" w:rsidP="00B2106A">
      <w:pPr>
        <w:autoSpaceDE w:val="0"/>
        <w:autoSpaceDN w:val="0"/>
        <w:adjustRightInd w:val="0"/>
        <w:spacing w:after="0" w:line="240" w:lineRule="auto"/>
        <w:jc w:val="right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 xml:space="preserve">Viale Amendola, 2 </w:t>
      </w:r>
      <w:r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 xml:space="preserve">– </w:t>
      </w:r>
      <w:r>
        <w:rPr>
          <w:rFonts w:ascii="GelPenUprightLight" w:hAnsi="GelPenUprightLight" w:cs="GelPenUprightLight"/>
          <w:color w:val="002060"/>
          <w:sz w:val="28"/>
          <w:szCs w:val="28"/>
        </w:rPr>
        <w:t>LA SPEZIA</w:t>
      </w:r>
    </w:p>
    <w:p w:rsidR="00B2106A" w:rsidRDefault="00B2106A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40"/>
          <w:szCs w:val="40"/>
        </w:rPr>
      </w:pPr>
    </w:p>
    <w:p w:rsidR="00B2106A" w:rsidRDefault="00B2106A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40"/>
          <w:szCs w:val="40"/>
        </w:rPr>
      </w:pPr>
    </w:p>
    <w:p w:rsidR="00B2106A" w:rsidRDefault="00B2106A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40"/>
          <w:szCs w:val="40"/>
        </w:rPr>
      </w:pPr>
    </w:p>
    <w:p w:rsidR="00B2106A" w:rsidRPr="00B2106A" w:rsidRDefault="00B2106A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b/>
          <w:color w:val="002060"/>
          <w:sz w:val="40"/>
          <w:szCs w:val="40"/>
        </w:rPr>
      </w:pPr>
      <w:r w:rsidRPr="00B2106A">
        <w:rPr>
          <w:rFonts w:ascii="GelPenUprightLight" w:hAnsi="GelPenUprightLight" w:cs="GelPenUprightLight"/>
          <w:b/>
          <w:color w:val="002060"/>
          <w:sz w:val="40"/>
          <w:szCs w:val="40"/>
        </w:rPr>
        <w:t>Oggi preghiamo per: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12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 xml:space="preserve"> marzo 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le nostre sorelle della casa di riposo Alassio Villa Piaggio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13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le nostre sorelle della casa di riposo Livorno Santo Spirito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14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le nostre sorelle della casa di riposo Lugagnano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15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i bambini della scuola dell’infanzia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16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i bambini della scuola primaria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17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>i ragazzi della scuola secondaria di primo grado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18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>i giovani della scuola secondaria di secondo grado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19</w:t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  <w:t>i giovani dei centri professionali</w:t>
      </w:r>
    </w:p>
    <w:p w:rsidR="00B2106A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20</w:t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  <w:t>i giovani universitari</w:t>
      </w:r>
    </w:p>
    <w:p w:rsidR="00E933FB" w:rsidRDefault="00E933FB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21</w:t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70C1"/>
          <w:sz w:val="28"/>
          <w:szCs w:val="28"/>
        </w:rPr>
        <w:tab/>
      </w:r>
      <w:r>
        <w:rPr>
          <w:rFonts w:ascii="GelPenUprightLight" w:hAnsi="GelPenUprightLight" w:cs="GelPenUprightLight"/>
          <w:color w:val="0070C1"/>
          <w:sz w:val="28"/>
          <w:szCs w:val="28"/>
        </w:rPr>
        <w:t>i ragazzi e i giovani che frequentano l’oratorio e le realtà associative</w:t>
      </w:r>
    </w:p>
    <w:p w:rsidR="00E933FB" w:rsidRDefault="00E933FB" w:rsidP="00E933FB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22</w:t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  <w:t xml:space="preserve">i giovani che seguono i percorsi MGS </w:t>
      </w:r>
    </w:p>
    <w:p w:rsidR="00B2106A" w:rsidRDefault="00E933FB" w:rsidP="00E933FB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23</w:t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  <w:t>i giovani che non hanno punti di riferimento</w:t>
      </w:r>
    </w:p>
    <w:p w:rsidR="00E933FB" w:rsidRDefault="00E933FB" w:rsidP="00E933FB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70C1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24</w:t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  <w:t>i giovani che sono impegnati nel mondo del lavoro</w:t>
      </w:r>
    </w:p>
    <w:p w:rsidR="00E933FB" w:rsidRPr="00E933FB" w:rsidRDefault="00E933FB" w:rsidP="00E933FB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>
        <w:rPr>
          <w:rFonts w:ascii="GelPenUprightLight" w:hAnsi="GelPenUprightLight" w:cs="GelPenUprightLight"/>
          <w:color w:val="0070C1"/>
          <w:sz w:val="28"/>
          <w:szCs w:val="28"/>
        </w:rPr>
        <w:t>25</w:t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</w:r>
      <w:r>
        <w:rPr>
          <w:rFonts w:ascii="GelPenUprightLight" w:hAnsi="GelPenUprightLight" w:cs="GelPenUprightLight"/>
          <w:color w:val="0070C1"/>
          <w:sz w:val="28"/>
          <w:szCs w:val="28"/>
        </w:rPr>
        <w:tab/>
      </w:r>
      <w:r w:rsidRPr="00E933FB">
        <w:rPr>
          <w:rFonts w:ascii="GelPenUprightLight" w:hAnsi="GelPenUprightLight" w:cs="GelPenUprightLight"/>
          <w:color w:val="0066FF"/>
          <w:sz w:val="28"/>
          <w:szCs w:val="28"/>
        </w:rPr>
        <w:t>i ragazzi e giovani che incontriamo nelle Parrocchie</w:t>
      </w:r>
    </w:p>
    <w:p w:rsidR="00B2106A" w:rsidRPr="00E933FB" w:rsidRDefault="004E7A83" w:rsidP="00E933FB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26</w:t>
      </w:r>
      <w:r w:rsidR="00E933FB" w:rsidRPr="00E933FB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E933FB" w:rsidRPr="00E933FB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 w:rsidRPr="00E933FB">
        <w:rPr>
          <w:rFonts w:ascii="GelPenUprightLight" w:hAnsi="GelPenUprightLight" w:cs="GelPenUprightLight"/>
          <w:color w:val="002060"/>
          <w:sz w:val="28"/>
          <w:szCs w:val="28"/>
        </w:rPr>
        <w:t>le famiglie che sono in difficoltà</w:t>
      </w:r>
    </w:p>
    <w:p w:rsidR="00B2106A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27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  <w:t>le ragazze della Casa Famiglia</w:t>
      </w:r>
    </w:p>
    <w:p w:rsidR="00B2106A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28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>i bambini, i giovani e gli adulti immigrati accolti nelle nostre case</w:t>
      </w:r>
    </w:p>
    <w:p w:rsidR="00B2106A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29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>i bambini, ragazzi e giovani che frequentano il doposcuola</w:t>
      </w:r>
    </w:p>
    <w:p w:rsidR="004E7A83" w:rsidRDefault="004E7A83" w:rsidP="004E7A8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30</w:t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>tutte le persone che entrano nelle nostre case</w:t>
      </w:r>
      <w:r w:rsidR="000E066F" w:rsidRPr="000E066F">
        <w:rPr>
          <w:rFonts w:ascii="GelPenUprightLight" w:hAnsi="GelPenUprightLight" w:cs="GelPenUprightLight"/>
          <w:color w:val="002060"/>
          <w:sz w:val="28"/>
          <w:szCs w:val="28"/>
        </w:rPr>
        <w:t xml:space="preserve"> </w:t>
      </w:r>
      <w:r w:rsidR="000E066F">
        <w:rPr>
          <w:rFonts w:ascii="GelPenUprightLight" w:hAnsi="GelPenUprightLight" w:cs="GelPenUprightLight"/>
          <w:color w:val="002060"/>
          <w:sz w:val="28"/>
          <w:szCs w:val="28"/>
        </w:rPr>
        <w:t xml:space="preserve">e </w:t>
      </w:r>
      <w:r w:rsidR="000E066F">
        <w:rPr>
          <w:rFonts w:ascii="GelPenUprightLight" w:hAnsi="GelPenUprightLight" w:cs="GelPenUprightLight"/>
          <w:color w:val="002060"/>
          <w:sz w:val="28"/>
          <w:szCs w:val="28"/>
        </w:rPr>
        <w:t>quanti si affidano alle nostre preghiere</w:t>
      </w:r>
    </w:p>
    <w:p w:rsidR="00B2106A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2060"/>
          <w:sz w:val="28"/>
          <w:szCs w:val="28"/>
        </w:rPr>
      </w:pPr>
      <w:r>
        <w:rPr>
          <w:rFonts w:ascii="GelPenUprightLight" w:hAnsi="GelPenUprightLight" w:cs="GelPenUprightLight"/>
          <w:color w:val="002060"/>
          <w:sz w:val="28"/>
          <w:szCs w:val="28"/>
        </w:rPr>
        <w:t>31</w:t>
      </w:r>
      <w:r>
        <w:rPr>
          <w:rFonts w:ascii="GelPenUprightLight" w:hAnsi="GelPenUprightLight" w:cs="GelPenUprightLight"/>
          <w:color w:val="002060"/>
          <w:sz w:val="28"/>
          <w:szCs w:val="28"/>
        </w:rPr>
        <w:tab/>
      </w:r>
      <w:r>
        <w:rPr>
          <w:rFonts w:ascii="GelPenUprightLight" w:hAnsi="GelPenUprightLight" w:cs="GelPenUprightLight"/>
          <w:color w:val="002060"/>
          <w:sz w:val="28"/>
          <w:szCs w:val="28"/>
        </w:rPr>
        <w:tab/>
      </w:r>
      <w:bookmarkStart w:id="0" w:name="_GoBack"/>
      <w:bookmarkEnd w:id="0"/>
      <w:r w:rsidR="00B2106A">
        <w:rPr>
          <w:rFonts w:ascii="GelPenUprightLight" w:hAnsi="GelPenUprightLight" w:cs="GelPenUprightLight"/>
          <w:color w:val="002060"/>
          <w:sz w:val="28"/>
          <w:szCs w:val="28"/>
        </w:rPr>
        <w:t>l’ispettrice sr. Carla e tutte le FMA dell’ispettoria</w:t>
      </w:r>
    </w:p>
    <w:p w:rsidR="00B2106A" w:rsidRPr="0072249F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72249F">
        <w:rPr>
          <w:rFonts w:ascii="GelPenUprightLight" w:hAnsi="GelPenUprightLight" w:cs="GelPenUprightLight"/>
          <w:color w:val="0066FF"/>
          <w:sz w:val="28"/>
          <w:szCs w:val="28"/>
        </w:rPr>
        <w:t>01 aprile</w:t>
      </w:r>
      <w:r w:rsidRPr="0072249F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72249F">
        <w:rPr>
          <w:rFonts w:ascii="GelPenUprightLight" w:hAnsi="GelPenUprightLight" w:cs="GelPenUprightLight"/>
          <w:color w:val="0066FF"/>
          <w:sz w:val="28"/>
          <w:szCs w:val="28"/>
        </w:rPr>
        <w:t>le FMA Juniores</w:t>
      </w:r>
    </w:p>
    <w:p w:rsidR="00B2106A" w:rsidRPr="004E7A83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02</w:t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  <w:t>gli educatori, gli insegnanti e quanti lavorano nelle nostre case</w:t>
      </w:r>
    </w:p>
    <w:p w:rsidR="00B2106A" w:rsidRPr="004E7A83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03</w:t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  <w:t>le giovani in ricerca</w:t>
      </w:r>
    </w:p>
    <w:p w:rsidR="00B2106A" w:rsidRPr="004E7A83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04</w:t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 xml:space="preserve">le ragazze che vivono il periodo di </w:t>
      </w:r>
      <w:r w:rsidR="0072249F">
        <w:rPr>
          <w:rFonts w:ascii="GelPenUprightLight" w:hAnsi="GelPenUprightLight" w:cs="GelPenUprightLight"/>
          <w:color w:val="0066FF"/>
          <w:sz w:val="28"/>
          <w:szCs w:val="28"/>
        </w:rPr>
        <w:t>v</w:t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erifica e orientamento vocazionale</w:t>
      </w:r>
    </w:p>
    <w:p w:rsidR="00B2106A" w:rsidRPr="004E7A83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05</w:t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  <w:t>le postulanti</w:t>
      </w:r>
    </w:p>
    <w:p w:rsidR="00B2106A" w:rsidRPr="004E7A83" w:rsidRDefault="004E7A83" w:rsidP="00B2106A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06</w:t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  <w:t>le novizie</w:t>
      </w:r>
    </w:p>
    <w:p w:rsidR="00282B31" w:rsidRDefault="004E7A83" w:rsidP="004E7A83">
      <w:pPr>
        <w:autoSpaceDE w:val="0"/>
        <w:autoSpaceDN w:val="0"/>
        <w:adjustRightInd w:val="0"/>
        <w:spacing w:after="0" w:line="240" w:lineRule="auto"/>
        <w:rPr>
          <w:rFonts w:ascii="GelPenUprightLight" w:hAnsi="GelPenUprightLight" w:cs="GelPenUprightLight"/>
          <w:color w:val="0066FF"/>
          <w:sz w:val="28"/>
          <w:szCs w:val="28"/>
        </w:rPr>
      </w:pP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07</w:t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ab/>
        <w:t>le intenzioni de</w:t>
      </w:r>
      <w:r w:rsidR="00B2106A" w:rsidRPr="004E7A83">
        <w:rPr>
          <w:rFonts w:ascii="GelPenUprightLight" w:hAnsi="GelPenUprightLight" w:cs="GelPenUprightLight"/>
          <w:color w:val="0066FF"/>
          <w:sz w:val="28"/>
          <w:szCs w:val="28"/>
        </w:rPr>
        <w:t>ll’</w:t>
      </w:r>
      <w:r w:rsidRPr="004E7A83">
        <w:rPr>
          <w:rFonts w:ascii="GelPenUprightLight" w:hAnsi="GelPenUprightLight" w:cs="GelPenUprightLight"/>
          <w:color w:val="0066FF"/>
          <w:sz w:val="28"/>
          <w:szCs w:val="28"/>
        </w:rPr>
        <w:t>Ispettrice sr. Carla</w:t>
      </w:r>
    </w:p>
    <w:p w:rsidR="004E7A83" w:rsidRPr="0072249F" w:rsidRDefault="004E7A83" w:rsidP="004E7A8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GelPenUprightLight" w:hAnsi="GelPenUprightLight" w:cs="GelPenUprightLight"/>
          <w:color w:val="002060"/>
          <w:sz w:val="28"/>
          <w:szCs w:val="28"/>
        </w:rPr>
      </w:pPr>
      <w:r w:rsidRPr="0072249F">
        <w:rPr>
          <w:rFonts w:ascii="GelPenUprightLight" w:hAnsi="GelPenUprightLight" w:cs="GelPenUprightLight"/>
          <w:color w:val="002060"/>
          <w:sz w:val="28"/>
          <w:szCs w:val="28"/>
        </w:rPr>
        <w:t>08</w:t>
      </w:r>
      <w:r w:rsidRPr="0072249F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Pr="0072249F">
        <w:rPr>
          <w:rFonts w:ascii="GelPenUprightLight" w:hAnsi="GelPenUprightLight" w:cs="GelPenUprightLight"/>
          <w:color w:val="002060"/>
          <w:sz w:val="28"/>
          <w:szCs w:val="28"/>
        </w:rPr>
        <w:tab/>
      </w:r>
      <w:r w:rsidR="0072249F" w:rsidRPr="0072249F">
        <w:rPr>
          <w:rFonts w:ascii="GelPenUprightLight" w:hAnsi="GelPenUprightLight" w:cs="GelPenUprightLight"/>
          <w:color w:val="002060"/>
          <w:sz w:val="28"/>
          <w:szCs w:val="28"/>
        </w:rPr>
        <w:t xml:space="preserve">esprimere il nostro </w:t>
      </w:r>
      <w:r w:rsidRPr="0072249F">
        <w:rPr>
          <w:rFonts w:ascii="GelPenUprightLight" w:hAnsi="GelPenUprightLight" w:cs="GelPenUprightLight"/>
          <w:color w:val="002060"/>
          <w:sz w:val="28"/>
          <w:szCs w:val="28"/>
        </w:rPr>
        <w:t>GRAZIE ALL’ISPETTRICE SR. CARLA E AD OGNI COMUNITÀ EDUCANTE</w:t>
      </w:r>
      <w:r w:rsidR="0072249F" w:rsidRPr="0072249F">
        <w:rPr>
          <w:rFonts w:ascii="GelPenUprightLight" w:hAnsi="GelPenUprightLight" w:cs="GelPenUprightLight"/>
          <w:color w:val="002060"/>
          <w:sz w:val="28"/>
          <w:szCs w:val="28"/>
        </w:rPr>
        <w:t xml:space="preserve"> della nostra Ispettoria</w:t>
      </w:r>
    </w:p>
    <w:sectPr w:rsidR="004E7A83" w:rsidRPr="0072249F" w:rsidSect="00B210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PenUprightLight">
    <w:panose1 w:val="02000303000000000000"/>
    <w:charset w:val="00"/>
    <w:family w:val="auto"/>
    <w:pitch w:val="variable"/>
    <w:sig w:usb0="80000003" w:usb1="10010002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A"/>
    <w:rsid w:val="000E066F"/>
    <w:rsid w:val="00282B31"/>
    <w:rsid w:val="004E7A83"/>
    <w:rsid w:val="0072249F"/>
    <w:rsid w:val="00B2106A"/>
    <w:rsid w:val="00E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6274-B318-483E-8728-C016AEE3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festa</dc:creator>
  <cp:keywords/>
  <dc:description/>
  <cp:lastModifiedBy>cristina festa</cp:lastModifiedBy>
  <cp:revision>2</cp:revision>
  <dcterms:created xsi:type="dcterms:W3CDTF">2018-02-14T16:10:00Z</dcterms:created>
  <dcterms:modified xsi:type="dcterms:W3CDTF">2018-03-10T17:22:00Z</dcterms:modified>
</cp:coreProperties>
</file>